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EE" w:rsidRDefault="00C42CEE">
      <w:pPr>
        <w:rPr>
          <w:rFonts w:ascii="Bookman Old Style" w:hAnsi="Bookman Old Style"/>
          <w:b/>
          <w:sz w:val="28"/>
          <w:szCs w:val="28"/>
        </w:rPr>
      </w:pPr>
      <w:r w:rsidRPr="00C42CEE">
        <w:rPr>
          <w:rFonts w:ascii="Bookman Old Style" w:hAnsi="Bookman Old Style"/>
          <w:b/>
          <w:sz w:val="28"/>
          <w:szCs w:val="28"/>
          <w:u w:val="single"/>
        </w:rPr>
        <w:t>Institutional Distinctiveness</w:t>
      </w:r>
      <w:r w:rsidRPr="00C42CEE">
        <w:rPr>
          <w:rFonts w:ascii="Bookman Old Style" w:hAnsi="Bookman Old Style"/>
          <w:b/>
          <w:sz w:val="28"/>
          <w:szCs w:val="28"/>
        </w:rPr>
        <w:t>:</w:t>
      </w:r>
    </w:p>
    <w:p w:rsidR="00C42CEE" w:rsidRDefault="00C42CEE" w:rsidP="00C42CEE">
      <w:pPr>
        <w:jc w:val="both"/>
        <w:rPr>
          <w:rFonts w:ascii="Bookman Old Style" w:hAnsi="Bookman Old Style"/>
          <w:sz w:val="24"/>
          <w:szCs w:val="24"/>
        </w:rPr>
      </w:pPr>
      <w:r w:rsidRPr="00C42CEE">
        <w:rPr>
          <w:rFonts w:ascii="Bookman Old Style" w:hAnsi="Bookman Old Style"/>
          <w:sz w:val="24"/>
          <w:szCs w:val="24"/>
          <w:u w:val="single"/>
        </w:rPr>
        <w:t>Continuous efforts to ‘enhance the canvas’ for our students and provide them with all possible opportunities to broaden the scope and range of their learning</w:t>
      </w:r>
      <w:r>
        <w:rPr>
          <w:rFonts w:ascii="Bookman Old Style" w:hAnsi="Bookman Old Style"/>
          <w:sz w:val="24"/>
          <w:szCs w:val="24"/>
        </w:rPr>
        <w:t xml:space="preserve">. </w:t>
      </w:r>
    </w:p>
    <w:p w:rsidR="00C42CEE" w:rsidRDefault="00C42CEE" w:rsidP="00C42CEE">
      <w:pPr>
        <w:jc w:val="both"/>
        <w:rPr>
          <w:rFonts w:ascii="Bookman Old Style" w:hAnsi="Bookman Old Style"/>
          <w:sz w:val="24"/>
          <w:szCs w:val="24"/>
        </w:rPr>
      </w:pPr>
      <w:r>
        <w:rPr>
          <w:rFonts w:ascii="Bookman Old Style" w:hAnsi="Bookman Old Style"/>
          <w:sz w:val="24"/>
          <w:szCs w:val="24"/>
        </w:rPr>
        <w:t>Given the obvious limitations of conventional teaching on one hand and considering the challenges and demand of an ever-shrinking, liberalized and globalized world on the other, we believe that it is imperative to look beyond the curriculum and give students a wide range of programmes and activities which can prepare them for the real world’s demands. This year we tried to achieve this in five main ways:</w:t>
      </w:r>
    </w:p>
    <w:p w:rsidR="000153AB" w:rsidRDefault="00C42CEE" w:rsidP="00C42CEE">
      <w:pPr>
        <w:pStyle w:val="ListParagraph"/>
        <w:numPr>
          <w:ilvl w:val="0"/>
          <w:numId w:val="1"/>
        </w:numPr>
        <w:jc w:val="both"/>
        <w:rPr>
          <w:rFonts w:ascii="Bookman Old Style" w:hAnsi="Bookman Old Style"/>
          <w:sz w:val="24"/>
          <w:szCs w:val="24"/>
        </w:rPr>
      </w:pPr>
      <w:r>
        <w:rPr>
          <w:rFonts w:ascii="Bookman Old Style" w:hAnsi="Bookman Old Style"/>
          <w:sz w:val="24"/>
          <w:szCs w:val="24"/>
        </w:rPr>
        <w:t xml:space="preserve">Establishment of the Bloomberg Lab to give students exposure to real-time conditions in the global financial market. </w:t>
      </w:r>
      <w:r>
        <w:rPr>
          <w:rFonts w:ascii="Bookman Old Style" w:hAnsi="Bookman Old Style"/>
          <w:b/>
          <w:sz w:val="24"/>
          <w:szCs w:val="24"/>
        </w:rPr>
        <w:t>GSCC</w:t>
      </w:r>
      <w:r>
        <w:rPr>
          <w:rFonts w:ascii="Bookman Old Style" w:hAnsi="Bookman Old Style"/>
          <w:sz w:val="24"/>
          <w:szCs w:val="24"/>
        </w:rPr>
        <w:t xml:space="preserve"> </w:t>
      </w:r>
      <w:r w:rsidR="000153AB">
        <w:rPr>
          <w:rFonts w:ascii="Bookman Old Style" w:hAnsi="Bookman Old Style"/>
          <w:sz w:val="24"/>
          <w:szCs w:val="24"/>
        </w:rPr>
        <w:t xml:space="preserve">is the first college in University of Mumbai to not only to have 12 Bloomberg </w:t>
      </w:r>
      <w:r w:rsidR="009A3682">
        <w:rPr>
          <w:rFonts w:ascii="Bookman Old Style" w:hAnsi="Bookman Old Style"/>
          <w:sz w:val="24"/>
          <w:szCs w:val="24"/>
        </w:rPr>
        <w:t>Terminals;</w:t>
      </w:r>
      <w:r w:rsidR="000153AB">
        <w:rPr>
          <w:rFonts w:ascii="Bookman Old Style" w:hAnsi="Bookman Old Style"/>
          <w:sz w:val="24"/>
          <w:szCs w:val="24"/>
        </w:rPr>
        <w:t xml:space="preserve"> it is the only college to open this Lab for the use of </w:t>
      </w:r>
      <w:r w:rsidR="000153AB" w:rsidRPr="000153AB">
        <w:rPr>
          <w:rFonts w:ascii="Bookman Old Style" w:hAnsi="Bookman Old Style"/>
          <w:sz w:val="24"/>
          <w:szCs w:val="24"/>
          <w:u w:val="single"/>
        </w:rPr>
        <w:t>undergraduate</w:t>
      </w:r>
      <w:r w:rsidR="000153AB">
        <w:rPr>
          <w:rFonts w:ascii="Bookman Old Style" w:hAnsi="Bookman Old Style"/>
          <w:sz w:val="24"/>
          <w:szCs w:val="24"/>
          <w:u w:val="single"/>
        </w:rPr>
        <w:t xml:space="preserve"> </w:t>
      </w:r>
      <w:r w:rsidR="000153AB">
        <w:rPr>
          <w:rFonts w:ascii="Bookman Old Style" w:hAnsi="Bookman Old Style"/>
          <w:sz w:val="24"/>
          <w:szCs w:val="24"/>
        </w:rPr>
        <w:t>students, at a time when only some Management Institutes have Bloomberg Terminals for their MBA students. As a result, we have students of B.Com-Financial Markets/B.Com-Accountancy &amp; Finance/B.Sc.IT and B.Com-Management Studies all availing the services of a trained professional which gives them a real edge over other students when they seek job in India or abroad.</w:t>
      </w:r>
    </w:p>
    <w:p w:rsidR="000153AB" w:rsidRDefault="000153AB" w:rsidP="00C42CEE">
      <w:pPr>
        <w:pStyle w:val="ListParagraph"/>
        <w:numPr>
          <w:ilvl w:val="0"/>
          <w:numId w:val="1"/>
        </w:numPr>
        <w:jc w:val="both"/>
        <w:rPr>
          <w:rFonts w:ascii="Bookman Old Style" w:hAnsi="Bookman Old Style"/>
          <w:sz w:val="24"/>
          <w:szCs w:val="24"/>
        </w:rPr>
      </w:pPr>
      <w:r>
        <w:rPr>
          <w:rFonts w:ascii="Bookman Old Style" w:hAnsi="Bookman Old Style"/>
          <w:b/>
          <w:sz w:val="24"/>
          <w:szCs w:val="24"/>
        </w:rPr>
        <w:t xml:space="preserve">GSCC </w:t>
      </w:r>
      <w:r>
        <w:rPr>
          <w:rFonts w:ascii="Bookman Old Style" w:hAnsi="Bookman Old Style"/>
          <w:sz w:val="24"/>
          <w:szCs w:val="24"/>
        </w:rPr>
        <w:t xml:space="preserve">entered in to </w:t>
      </w:r>
      <w:proofErr w:type="spellStart"/>
      <w:r>
        <w:rPr>
          <w:rFonts w:ascii="Bookman Old Style" w:hAnsi="Bookman Old Style"/>
          <w:sz w:val="24"/>
          <w:szCs w:val="24"/>
        </w:rPr>
        <w:t>MoU</w:t>
      </w:r>
      <w:proofErr w:type="spellEnd"/>
      <w:r>
        <w:rPr>
          <w:rFonts w:ascii="Bookman Old Style" w:hAnsi="Bookman Old Style"/>
          <w:sz w:val="24"/>
          <w:szCs w:val="24"/>
        </w:rPr>
        <w:t xml:space="preserve"> with the Skill Development Vocational Institute of India to introduce add-on courses. We began with a certificate course in E-Taxation: Direct Tax, keeping in mind the students’ needs and the relevance of the course.</w:t>
      </w:r>
    </w:p>
    <w:p w:rsidR="00C42CEE" w:rsidRDefault="000153AB" w:rsidP="00C42CEE">
      <w:pPr>
        <w:pStyle w:val="ListParagraph"/>
        <w:numPr>
          <w:ilvl w:val="0"/>
          <w:numId w:val="1"/>
        </w:numPr>
        <w:jc w:val="both"/>
        <w:rPr>
          <w:rFonts w:ascii="Bookman Old Style" w:hAnsi="Bookman Old Style"/>
          <w:sz w:val="24"/>
          <w:szCs w:val="24"/>
        </w:rPr>
      </w:pPr>
      <w:r>
        <w:rPr>
          <w:rFonts w:ascii="Bookman Old Style" w:hAnsi="Bookman Old Style"/>
          <w:sz w:val="24"/>
          <w:szCs w:val="24"/>
        </w:rPr>
        <w:t>Programmes</w:t>
      </w:r>
      <w:r w:rsidR="009A3682">
        <w:rPr>
          <w:rFonts w:ascii="Bookman Old Style" w:hAnsi="Bookman Old Style"/>
          <w:sz w:val="24"/>
          <w:szCs w:val="24"/>
        </w:rPr>
        <w:t xml:space="preserve"> for students’ overall development and career placement initiatives were undertaken. They included seminars on Core Java, Python Programming and Digital Transformation; a seminar on Animation and Designing; and seminar on Banking and Finance. Placement drives were organised to give job-opportunities to students.</w:t>
      </w:r>
    </w:p>
    <w:p w:rsidR="009A3682" w:rsidRDefault="009A3682" w:rsidP="00C42CEE">
      <w:pPr>
        <w:pStyle w:val="ListParagraph"/>
        <w:numPr>
          <w:ilvl w:val="0"/>
          <w:numId w:val="1"/>
        </w:numPr>
        <w:jc w:val="both"/>
        <w:rPr>
          <w:rFonts w:ascii="Bookman Old Style" w:hAnsi="Bookman Old Style"/>
          <w:sz w:val="24"/>
          <w:szCs w:val="24"/>
        </w:rPr>
      </w:pPr>
      <w:r>
        <w:rPr>
          <w:rFonts w:ascii="Bookman Old Style" w:hAnsi="Bookman Old Style"/>
          <w:sz w:val="24"/>
          <w:szCs w:val="24"/>
        </w:rPr>
        <w:t xml:space="preserve">The students of the Self-Finance Department organised 5 different exhibitions on different themes related to their respective courses: viz. Innovations &amp; Sustainability; Financial Planetarium; Monetary Museum; Investment </w:t>
      </w:r>
      <w:proofErr w:type="spellStart"/>
      <w:r>
        <w:rPr>
          <w:rFonts w:ascii="Bookman Old Style" w:hAnsi="Bookman Old Style"/>
          <w:sz w:val="24"/>
          <w:szCs w:val="24"/>
        </w:rPr>
        <w:t>Bazar</w:t>
      </w:r>
      <w:proofErr w:type="spellEnd"/>
      <w:r>
        <w:rPr>
          <w:rFonts w:ascii="Bookman Old Style" w:hAnsi="Bookman Old Style"/>
          <w:sz w:val="24"/>
          <w:szCs w:val="24"/>
        </w:rPr>
        <w:t xml:space="preserve">; </w:t>
      </w:r>
      <w:proofErr w:type="spellStart"/>
      <w:r>
        <w:rPr>
          <w:rFonts w:ascii="Bookman Old Style" w:hAnsi="Bookman Old Style"/>
          <w:sz w:val="24"/>
          <w:szCs w:val="24"/>
        </w:rPr>
        <w:t>Techn</w:t>
      </w:r>
      <w:proofErr w:type="spellEnd"/>
      <w:r>
        <w:rPr>
          <w:rFonts w:ascii="Bookman Old Style" w:hAnsi="Bookman Old Style"/>
          <w:sz w:val="24"/>
          <w:szCs w:val="24"/>
        </w:rPr>
        <w:t>-O-Wiz. Students were directly involved in these exhibitions from the conceptual stage to the execution stage and almost e</w:t>
      </w:r>
      <w:r w:rsidR="00A90472">
        <w:rPr>
          <w:rFonts w:ascii="Bookman Old Style" w:hAnsi="Bookman Old Style"/>
          <w:sz w:val="24"/>
          <w:szCs w:val="24"/>
        </w:rPr>
        <w:t xml:space="preserve">very student had a role to play, with faculty members playing facilitating role. </w:t>
      </w:r>
    </w:p>
    <w:p w:rsidR="00A90472" w:rsidRDefault="00A90472" w:rsidP="00C42CEE">
      <w:pPr>
        <w:pStyle w:val="ListParagraph"/>
        <w:numPr>
          <w:ilvl w:val="0"/>
          <w:numId w:val="1"/>
        </w:numPr>
        <w:jc w:val="both"/>
        <w:rPr>
          <w:rFonts w:ascii="Bookman Old Style" w:hAnsi="Bookman Old Style"/>
          <w:sz w:val="24"/>
          <w:szCs w:val="24"/>
        </w:rPr>
      </w:pPr>
      <w:r>
        <w:rPr>
          <w:rFonts w:ascii="Bookman Old Style" w:hAnsi="Bookman Old Style"/>
          <w:sz w:val="24"/>
          <w:szCs w:val="24"/>
        </w:rPr>
        <w:t>The launching of a Research Cell in Commerce &amp; Economics recently is a major step in encouraging research skills among faculty and students.</w:t>
      </w:r>
    </w:p>
    <w:p w:rsidR="00A90472" w:rsidRPr="00A90472" w:rsidRDefault="00A90472" w:rsidP="00A90472">
      <w:pPr>
        <w:jc w:val="both"/>
        <w:rPr>
          <w:rFonts w:ascii="Bookman Old Style" w:hAnsi="Bookman Old Style"/>
          <w:sz w:val="24"/>
          <w:szCs w:val="24"/>
        </w:rPr>
      </w:pPr>
      <w:r>
        <w:rPr>
          <w:rFonts w:ascii="Bookman Old Style" w:hAnsi="Bookman Old Style"/>
          <w:sz w:val="24"/>
          <w:szCs w:val="24"/>
        </w:rPr>
        <w:lastRenderedPageBreak/>
        <w:t>In conclusion, we have and will continuously strive to bring newer and more varied schemes within the reach of our students and also our faculty. This will bring them more awareness, greater competence and confidence and give them a really solid base to succeed in whatever they choose to do in future because we helped to ‘</w:t>
      </w:r>
      <w:r w:rsidR="002A3495">
        <w:rPr>
          <w:rFonts w:ascii="Bookman Old Style" w:hAnsi="Bookman Old Style"/>
          <w:sz w:val="24"/>
          <w:szCs w:val="24"/>
        </w:rPr>
        <w:t>enhance</w:t>
      </w:r>
      <w:r>
        <w:rPr>
          <w:rFonts w:ascii="Bookman Old Style" w:hAnsi="Bookman Old Style"/>
          <w:sz w:val="24"/>
          <w:szCs w:val="24"/>
        </w:rPr>
        <w:t xml:space="preserve"> the canvas’ for them.</w:t>
      </w:r>
    </w:p>
    <w:sectPr w:rsidR="00A90472" w:rsidRPr="00A90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45680"/>
    <w:multiLevelType w:val="hybridMultilevel"/>
    <w:tmpl w:val="772C5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42CEE"/>
    <w:rsid w:val="000153AB"/>
    <w:rsid w:val="002A3495"/>
    <w:rsid w:val="009A3682"/>
    <w:rsid w:val="00A90472"/>
    <w:rsid w:val="00C42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ameya.tanawade</dc:creator>
  <cp:keywords/>
  <dc:description/>
  <cp:lastModifiedBy>ameya.tanawade</cp:lastModifiedBy>
  <cp:revision>3</cp:revision>
  <dcterms:created xsi:type="dcterms:W3CDTF">2020-02-11T04:27:00Z</dcterms:created>
  <dcterms:modified xsi:type="dcterms:W3CDTF">2020-02-11T05:04:00Z</dcterms:modified>
</cp:coreProperties>
</file>